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noProof/>
          <w:sz w:val="24"/>
          <w:szCs w:val="24"/>
          <w:lang w:eastAsia="ro-MD"/>
        </w:rPr>
        <w:drawing>
          <wp:inline distT="0" distB="0" distL="0" distR="0" wp14:anchorId="54274F9D" wp14:editId="47BC3480">
            <wp:extent cx="6991350" cy="781050"/>
            <wp:effectExtent l="0" t="0" r="0" b="0"/>
            <wp:docPr id="2" name="Picture 2" descr="\\dataserver\Leg_rm\datajur\Legi_Rus\DE\A19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server\Leg_rm\datajur\Legi_Rus\DE\A19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П Р И К А З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об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утверждении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проверочных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листов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,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используемых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инспекторами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Органа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гражданской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авиации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процессе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контроля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авиационных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агентов</w:t>
      </w:r>
      <w:proofErr w:type="spellEnd"/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№ 146  </w:t>
      </w:r>
      <w:proofErr w:type="spellStart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от</w:t>
      </w:r>
      <w:proofErr w:type="spellEnd"/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  20.06.2019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</w:pPr>
      <w:proofErr w:type="spellStart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>Мониторул</w:t>
      </w:r>
      <w:proofErr w:type="spellEnd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>Офичиал</w:t>
      </w:r>
      <w:proofErr w:type="spellEnd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 xml:space="preserve"> № 223-229/1201 </w:t>
      </w:r>
      <w:proofErr w:type="spellStart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>от</w:t>
      </w:r>
      <w:proofErr w:type="spellEnd"/>
      <w:r w:rsidRPr="00A85F5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o-MD"/>
        </w:rPr>
        <w:t> 12.07.2019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* * *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основании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статьи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5</w:t>
      </w:r>
      <w:r w:rsidRPr="00A85F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MD"/>
        </w:rPr>
        <w:t>1</w:t>
      </w: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Закона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№ 131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от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8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июня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2012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года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о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государственном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контроле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предпринимательской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деятельности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(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Официальный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монитор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Республики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Молдова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2012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год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№ 181-184, ст.595) и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пункта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40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Правил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составления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утверждения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и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использования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проверочных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листов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применяемых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рамках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государственного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контроля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предпринимательской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деятельности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утвержденного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Постановлением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Правительства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№ 379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от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25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апреля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2018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года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(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Официальный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монитор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Республики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Молдова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2018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год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, № 133-141, ст.421), </w:t>
      </w:r>
    </w:p>
    <w:p w:rsidR="00A85F53" w:rsidRPr="00A85F53" w:rsidRDefault="00A85F53" w:rsidP="00A8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 xml:space="preserve">ПРИКАЗЫВАЮ: 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1.</w:t>
      </w: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Утвердить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проверочные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листы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применяемые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рамках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государственного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контроля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предпринимательской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деятельности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основе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анализа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рисков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пределах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сферы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компетенции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Органа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гражданской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авиации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.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4932"/>
        <w:gridCol w:w="1031"/>
        <w:gridCol w:w="1217"/>
      </w:tblGrid>
      <w:tr w:rsidR="00A85F53" w:rsidRPr="00A85F53" w:rsidTr="00A85F53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Область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название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листа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Номер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листа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(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единный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Номер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приложения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к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Приказу</w:t>
            </w:r>
            <w:proofErr w:type="spellEnd"/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1.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Защита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потребителей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в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сфере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воздушного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транспорта</w:t>
            </w:r>
            <w:proofErr w:type="spellEnd"/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Проверочный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лист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«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Общие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требования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к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предоставлению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услуг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Контрольный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список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"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Электронная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торговля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2.</w:t>
      </w: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Органу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гражданской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авиации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обеспечить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опубликование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настоящего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приказа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и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проверочных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листов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Официальном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мониторе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Республики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Молдова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и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своей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официальной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веб-странице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.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3.</w:t>
      </w: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Настоящий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приказ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и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проверочные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листы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вступают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силу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дня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опубликования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в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Официальном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мониторе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Республики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Молдова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.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b/>
          <w:bCs/>
          <w:sz w:val="24"/>
          <w:szCs w:val="24"/>
          <w:lang w:eastAsia="ro-MD"/>
        </w:rPr>
        <w:t>4.</w:t>
      </w: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Контроль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за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исполнением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настоящего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приказа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возложить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на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государственного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секретаря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</w:t>
      </w:r>
      <w:proofErr w:type="spellStart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Сергей</w:t>
      </w:r>
      <w:proofErr w:type="spellEnd"/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 xml:space="preserve"> БУКАТАРУ.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1738"/>
      </w:tblGrid>
      <w:tr w:rsidR="00A85F53" w:rsidRPr="00A85F53" w:rsidTr="00A8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МИНИСТР ЭКОНОМИКИ И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Вадим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БРЫНЗАН</w:t>
            </w:r>
          </w:p>
        </w:tc>
      </w:tr>
      <w:tr w:rsidR="00A85F53" w:rsidRPr="00A85F53" w:rsidTr="00A8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№ 146.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Кишинэу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20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июня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2019 г.</w:t>
            </w:r>
          </w:p>
        </w:tc>
        <w:tc>
          <w:tcPr>
            <w:tcW w:w="0" w:type="auto"/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1230"/>
        <w:gridCol w:w="841"/>
        <w:gridCol w:w="1159"/>
        <w:gridCol w:w="1212"/>
      </w:tblGrid>
      <w:tr w:rsidR="00A85F53" w:rsidRPr="00A85F53" w:rsidTr="00A85F53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Anexa nr.1 </w:t>
            </w:r>
          </w:p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la Ordinul </w:t>
            </w:r>
          </w:p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nr.146 din 20.06.2019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AUTORITATEA AERONAUTICĂ CIVILĂ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MD-2026,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mun.Chişinău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bd.Dacia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80/2, tel. +373-22-823-500,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lastRenderedPageBreak/>
              <w:t xml:space="preserve">fax +373-22-529-118 E-mail: </w:t>
            </w:r>
            <w:hyperlink r:id="rId5" w:history="1">
              <w:r w:rsidRPr="00A85F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o-MD"/>
                </w:rPr>
                <w:t>info@caa.gov.md</w:t>
              </w:r>
            </w:hyperlink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</w:t>
            </w:r>
            <w:hyperlink r:id="rId6" w:history="1">
              <w:r w:rsidRPr="00A85F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o-MD"/>
                </w:rPr>
                <w:t>www.caa.md</w:t>
              </w:r>
            </w:hyperlink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LISTA DE VERIFICARE nr.1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cerinţe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generale privind prestarea serviciilor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I. Numele, prenumele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funcţiile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inspectorilor care efectuează controlul: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II. Persoana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obiectul supuse controlului: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Denumirea persoanei 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Sediul juridic, cod fiscal 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Numele, prenumele conducătorului persoanei supuse controlului/reprezentantului acesteia 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Unitatea structurală/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funcţională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supusă controlului (denumirea) 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Alte date caracteristice ale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(după caz) 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III.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despre persoana supusă controlului necesare pentru evaluarea riscurilor: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o-MD"/>
              </w:rPr>
              <w:t>1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lastRenderedPageBreak/>
              <w:t>Criteriul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curentă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deţinută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A AC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la data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iniţierii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controlului)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risc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curentă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este valabilă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(se bifează dacă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este cazul)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revizuită în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cadrul controlului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(se completează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dacă este cazul)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Domeniul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activităţii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Mărimea persoanei/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unităţii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755"/>
        <w:gridCol w:w="1283"/>
        <w:gridCol w:w="394"/>
        <w:gridCol w:w="407"/>
        <w:gridCol w:w="446"/>
        <w:gridCol w:w="1068"/>
        <w:gridCol w:w="757"/>
      </w:tblGrid>
      <w:tr w:rsidR="00A85F53" w:rsidRPr="00A85F53" w:rsidTr="00A85F53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IV. Lista de întrebări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Nr.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d/o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întrebări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Referinţa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legală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Conformitate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Comentarii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Punctaj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N/c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Sunt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vedere denumirea persoanei supuse controlului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licenţa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autorizaţia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certificatul dacă obligativitatea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deţinerii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acesteia este prevăzută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legislaţie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alin.(13)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vedere programul de lucru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persoana supusă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controlului îl respectă?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Art.25 alin.(13)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vedere adresa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numărul de telefon al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abilitate cu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funcţii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protecţie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 consumatorilor?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alin.(12)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vedere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despre obligativitatea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prezenţei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bonului de casă sau a unui alt document care confirmă faptul cumpărării produsului, prestării serviciului?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alin.(12)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Persoana supusă controlului dispune de Registru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reclamaţii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un loc vizibil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accesibil pentru consumatori?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Art.9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lit.g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10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lit.h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8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Sunt înregistrate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petiţiile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consumatorilor în registrul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reclamaţii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sunt examinate în termenii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stabiliţi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Art.9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lit.g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), j)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10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lit.h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) Legea nr.105/2003;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pct.l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HG nr.1141/2006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8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Sunt oferite toate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informaţiile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referitor la produsele/serviciile oferite consumatorilor, documentele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însoţire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precum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contractele încheiate în limba de stat sau în limba de stat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una din limbile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circulaţie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internaţională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alin.(6)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7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indicat la vedere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într-o formă clară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explicită tariful serviciului prestat?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alin.( 10)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În zona de înregistrare a pasagerilor 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un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anunţ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lizibil constând din următorul text imprimat cu caractere clare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vizibile „În cazul unui refuz la îmbarcare sau în cazul în care zborul dumneavoastră este anulat sau are o întârziere de cel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puţin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doua ore,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solicitaţi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ghişeul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înregistrare sau la poarta de îmbarcare textul în care sunt precizate drepturile dumneavoastră, în special cu privire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compensaţie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asistenţă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.”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p.37 Hotărârea de Guvern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Operatorul aerian dispune de comunicate în formă scrisă sau alte mijloace alternative pentru persoanele nevăzătoare sau cu vedere redusă în care sunt precizate normele de compensare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asistenţă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în conformitate cu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dispoziţiile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Hotărârii de Guvern nr.836 din 08.11.2012 care urmează a fi prezentate fiecărui pasager care este afectat de o întârziere de cel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puţin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două ore, i-а fost refuzată îmbarcarea sau і s-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a anulat zborul?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p.38-39 Hotărârea de Guvern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Operatorul aerian dispune de comunicate în formă scrisă sau alte mijloace alternative pentru persoanele nevăzătoare sau cu vedere redusă în care sunt prezentate coordonatele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Aeronautice Civile care urmează a fi prezentate pasagerilor?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p.38, p.42 Hotărârea de Guvern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079"/>
        <w:gridCol w:w="1112"/>
        <w:gridCol w:w="1090"/>
        <w:gridCol w:w="1079"/>
        <w:gridCol w:w="1112"/>
        <w:gridCol w:w="1090"/>
      </w:tblGrid>
      <w:tr w:rsidR="00A85F53" w:rsidRPr="00A85F53" w:rsidTr="00A85F53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V. Punctajul pentru evaluarea riscului: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Încălcări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Numărul de întrebări conform clasificării încălcărilor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(toate întrebările aplicate)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Numărul de încălcări constatate în cadrul controlului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(toate întrebările neconforme)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conformare conform numărului de încălcări %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(1-(col 3/col 2) x 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Ponderea valorică totală conform clasificării încălcărilor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(suma punctajului tuturor întrebărilor aplicate)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Ponderea valorică a încălcărilor constatate în cadrul controlului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(suma punctajului întrebărilor neconforme)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conformare conform numărului de încălcări %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(1-(col 6/col 5) x 100%)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Minore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Foarte 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2249"/>
      </w:tblGrid>
      <w:tr w:rsidR="00A85F53" w:rsidRPr="00A85F53" w:rsidTr="00A85F5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VI. Ghid privind sistemul de apreciere a întrebărilor: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Clasificarea încălcărilor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Punctajul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Minore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1-5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6-10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Foarte 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11-20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900"/>
        <w:gridCol w:w="5210"/>
      </w:tblGrid>
      <w:tr w:rsidR="00A85F53" w:rsidRPr="00A85F53" w:rsidTr="00A85F5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VII. Lista actelor normative relevante: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Nr.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Indicativul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Titlul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Legea nr.105-XV din 13.03.2003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Privind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protecţia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consumatorilor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Hotărârea Guvernului nr.1141 din 04.10.2006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Pentru aprobarea Regulamentului cu privire la modul de gestionare a Registrului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reclamaţii</w:t>
            </w:r>
            <w:proofErr w:type="spellEnd"/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Hotărârea Guvernului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Pentru aprobarea Regulamentului privind compensarea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asistenţa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pasagerilor în eventualitatea refuzului la îmbarcare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anulării sau întârzierii prelungite a zborurilor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254"/>
        <w:gridCol w:w="2872"/>
      </w:tblGrid>
      <w:tr w:rsidR="00A85F53" w:rsidRPr="00A85F53" w:rsidTr="00A85F5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Întocmită la data de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Semnătura inspectorilor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prezenţi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la realizarea controlului: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______________________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(Nume, prenume)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lastRenderedPageBreak/>
              <w:t>(Nume, prenume)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_____________________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(Semnătura)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lastRenderedPageBreak/>
              <w:t>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___________________________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 xml:space="preserve">(Data aducerii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cunoştinţă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lastRenderedPageBreak/>
              <w:t xml:space="preserve">(Data aducerii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cunoştinţă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)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lastRenderedPageBreak/>
        <w:t> </w:t>
      </w:r>
    </w:p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1729"/>
        <w:gridCol w:w="1273"/>
        <w:gridCol w:w="1614"/>
        <w:gridCol w:w="1604"/>
      </w:tblGrid>
      <w:tr w:rsidR="00A85F53" w:rsidRPr="00A85F53" w:rsidTr="00A85F53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Anexa nr.2</w:t>
            </w:r>
          </w:p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la Ordinul</w:t>
            </w:r>
          </w:p>
          <w:p w:rsidR="00A85F53" w:rsidRPr="00A85F53" w:rsidRDefault="00A85F53" w:rsidP="00A8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nr.146 din 20.06.2019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AUTORITATEA AERONAUTICĂ CIVILĂ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MD-2026,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mun.Chişinău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bd.Dacia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80/2, tel. +373-22-823-500,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fax +373-22-529-118 E-mail: </w:t>
            </w:r>
            <w:hyperlink r:id="rId7" w:history="1">
              <w:r w:rsidRPr="00A85F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o-MD"/>
                </w:rPr>
                <w:t>info@caa.gov.md</w:t>
              </w:r>
            </w:hyperlink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, </w:t>
            </w:r>
            <w:hyperlink r:id="rId8" w:history="1">
              <w:r w:rsidRPr="00A85F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o-MD"/>
                </w:rPr>
                <w:t>www.caa.md</w:t>
              </w:r>
            </w:hyperlink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LISTĂ DE VERIFICARE nr.2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comerţul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electronic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I. Numele, prenumele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funcţiile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inspectorilor care efectuează controlul: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II. Persoana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obiectul supus controlului: 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Denumirea persoanei 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Sediul juridic, cod fiscal 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Numele, prenumele conducătorului persoanei supuse controlului/reprezentantului acesteia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Unitatea structurală/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funcţională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supusă controlului (denumirea) 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Sediul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structurale/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funcţionale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Alte date caracteristice ale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(după caz) 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__________________________________________________________________________________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III.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despre persoana supusă controlului necesare pentru evaluarea riscului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o-MD"/>
              </w:rPr>
              <w:t>1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Criteriul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curentă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t>deţinută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t xml:space="preserve"> de AAC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 xml:space="preserve">la data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t>iniţierii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controlului)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risc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curentă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 xml:space="preserve">este valabilă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t xml:space="preserve">(se bifează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dacă este cazul)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Informaţia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revizuită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 xml:space="preserve">în cadrul controlului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 xml:space="preserve">(se completează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dacă este cazul)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Domeniul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activităţii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Mărimea persoanei/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unităţii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1 În cazul în care tabelul corespunde cu tabelul din alte liste de verificare, utilizate în cadrul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aceluiaşi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control, tabelul se completează doar în una dintre listele de verificare utilizate în timpul controlului.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2 Se completează doar criteriile de risc aplicabile domeniului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persoanei supuse controlului.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756"/>
        <w:gridCol w:w="1238"/>
        <w:gridCol w:w="394"/>
        <w:gridCol w:w="407"/>
        <w:gridCol w:w="446"/>
        <w:gridCol w:w="1068"/>
        <w:gridCol w:w="801"/>
      </w:tblGrid>
      <w:tr w:rsidR="00A85F53" w:rsidRPr="00A85F53" w:rsidTr="00A85F53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IV. Lista de întrebări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Nr.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d/o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Întrebări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Referinţa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legală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Conformitate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Comentarii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Pondere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N/c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Furnizorul de servicii asigură accesul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uşor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direct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permanent la următoarea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informaţie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autentică despre sine în format electronic, în limba română: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- denumirea completă, inclusiv forma de organizare juridică – în cazul persoanei juridice; numele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prenumele – în cazul persoanei fizice înregistrate în calitate de întreprinzător individual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- numărul de identificare de stat (IDNO) al persoanei juridice sau al întreprinzătorului individual, codul TVA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lit.b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f)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adresa juridică, adresa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poştală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adresa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poştă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electronică a persoanei, numărul telefonului de contact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lit.c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numărul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termenul de valabilitate a autorizărilor (în cazul în care pentru efectuarea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activităţii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este necesară autorizare), precum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denumirea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administraţiei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publice ce a eliberat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autorizaţia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lit.d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datele privind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condiţiile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expedierii, precum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preţurile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serviciilor destinate vânzării, tarifele serviciilor ce vor fi prestate?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lit.g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preţurile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serviciilor, care trebuie indicate cu precizarea reducerilor, includerii sau neincluderii în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preţuri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tarife a impozitelor?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lit.h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includerea sau neincluderea în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preţuri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tarife a cheltuielilor de livrare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/sau a altor cheltuieli, precum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valoarea acestora, dacă este cazul?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numărul telefonului de contact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adresa paginii web oficiale ale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Agenţiei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pentru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protecţia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consumatorilor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supravegherea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pieţei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lit.j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- termenele de plată?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lit.k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- perioada de valabilitate a ofertei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preţului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Art.12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Furnizorul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/sau intermediarul în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comerţul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electronic încheie contracte cu destinatarii serviciilor: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- sub formă de contract electronic, cu utilizarea semnăturii electronice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documentul electronic? sau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- sub altă formă, cu utilizarea mijloacelor electronice?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Art.6 alin.(1)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b) nr.284/2004;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>Legea nr.91/2014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pusă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dispoziţia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destinatarului serviciilor, înainte de a plasa comanda, următoarele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informaţii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formulate clar, neechivoc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într-un limbaj accesibil: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a) etapele tehnice care trebuie urmate pentru a încheia contractul;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b) dacă contractul, odată încheiat, va fi stocat sau nu va fi stocat de către furnizorul de servicii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dacă va fi accesibil sau nu va fi accesibil;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c) mijloacele tehnice pe care furnizorul de servicii le pune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dispoziţie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destinatarului serviciilor pentru identificarea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corectarea erorilor survenite la introducerea datelor înainte de plasarea comenzii;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d) limbile în care se poate încheia contractul;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e) codurile de conduită relevante la care furnizorul de servicii subscrie, precum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informaţii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despre modul în care aceste coduri pot fi consultate prin mijloace electronice;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Art.21 alin.(3)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)-f)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Se respectă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cerinţele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privind comunicările comerciale: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a)persoana în numele căreia sunt făcute este clar identificabilă?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b) ofertele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promoţionale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, precum reducerile, premiile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cadourile, sunt clar identificabile, iar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condiţiile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care trebuie îndeplinite pentru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obţinerea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lor sunt clar prezentate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accesibile?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br/>
              <w:t xml:space="preserve">c)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competiţiile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jocurile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promoţionale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sunt clar identificabile, iar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condiţiile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participare sunt clar prezentate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accesibile?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Art.22 alin.(2)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lit.a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)-e) Legea nr.284/2004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vedere adresa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numărul de telefon al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autorităţii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abilitate cu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funcţii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protecţie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 consumatorilor?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Art.25 alin.(12) Legea nr.105/2003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În zona de înregistrare a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pasagerilor în line este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afişat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un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anunţ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lizibil constând din următorul text cu caractere clare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vizibile „În cazul unui refuz la îmbarcare sau în cazul în care zborul dumneavoastră este anulat sau are o întârziere de cel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puţin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doua ore,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solicitaţi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ghişeul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de înregistrare sau la poarta de îmbarcare textul în care sunt precizate drepturile dumneavoastră, în special cu privire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compensaţie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asistenţă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.”?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p.37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>Hotărârea de Guvern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15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079"/>
        <w:gridCol w:w="1101"/>
        <w:gridCol w:w="1090"/>
        <w:gridCol w:w="1079"/>
        <w:gridCol w:w="1101"/>
        <w:gridCol w:w="1090"/>
      </w:tblGrid>
      <w:tr w:rsidR="00A85F53" w:rsidRPr="00A85F53" w:rsidTr="00A85F53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V. Punctajul pentru evaluarea riscului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Încălcări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Numărul de întrebări conform clasificării încălcărilor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(toate întrebările aplicate)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Numărul de încălcări constatate în cadrul controlului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(toate întrebările neconforme)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conformare conform numărului de încălcări %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(1-(col 3/col 2) x100%)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Ponderea valorică totală conform clasificării încălcărilor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(suma punctajului tuturor întrebărilor aplicate)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Ponderea valorică a încălcărilor constatate în cadrul controlului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(suma punctajului întrebărilor neconforme)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Gradul de conformare conform numărului de încălcări %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r w:rsidRPr="00A85F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MD"/>
              </w:rPr>
              <w:br/>
              <w:t>(1-(col 6/col 5) x100%)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Minore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Foarte 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2213"/>
      </w:tblGrid>
      <w:tr w:rsidR="00A85F53" w:rsidRPr="00A85F53" w:rsidTr="00A85F5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VI. Ghid privind sistemul de apreciere a întrebărilor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Clasificarea încălcărilor,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Punctajul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Minore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 – 5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6 – 10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Foarte grave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11 - 20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74"/>
        <w:gridCol w:w="5236"/>
      </w:tblGrid>
      <w:tr w:rsidR="00A85F53" w:rsidRPr="00A85F53" w:rsidTr="00A85F5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VII. Lista actelor normative relevante: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Nr. </w:t>
            </w: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Indicativul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Titlul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Legea nr.284-XV din 22.07.2004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Privind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comerţul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electronic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Legii nr.91/2014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Privind semnătura electronică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documentul electronic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Hotărârea Guvernului nr.836 din 08.11.2012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Pentru aprobarea Regulamentului privind compensarea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asistenţa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pasagerilor în eventualitatea refuzului la îmbarcare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şi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anulării sau întârzierii prelungite a zborurilor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Legea nr.105-XV din 13.03.2003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Privind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protecţia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 consumatorilor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254"/>
        <w:gridCol w:w="2872"/>
      </w:tblGrid>
      <w:tr w:rsidR="00A85F53" w:rsidRPr="00A85F53" w:rsidTr="00A85F5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Întocmită la data de </w:t>
            </w: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_________________________________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Semnătura inspectorilor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>prezenţi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MD"/>
              </w:rPr>
              <w:t xml:space="preserve"> la realizarea controlului:</w:t>
            </w:r>
          </w:p>
          <w:p w:rsidR="00A85F53" w:rsidRPr="00A85F53" w:rsidRDefault="00A85F53" w:rsidP="00A85F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 </w:t>
            </w:r>
          </w:p>
        </w:tc>
      </w:tr>
      <w:tr w:rsidR="00A85F53" w:rsidRPr="00A85F53" w:rsidTr="00A85F5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lastRenderedPageBreak/>
              <w:t xml:space="preserve">______________________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(Nume, prenume)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(Nume, prenume)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 xml:space="preserve">_____________________ 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(Semnătura)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 xml:space="preserve">(Data aducerii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cunoştinţă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)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  <w:t>___________________________</w:t>
            </w:r>
          </w:p>
          <w:p w:rsidR="00A85F53" w:rsidRPr="00A85F53" w:rsidRDefault="00A85F53" w:rsidP="00A8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MD"/>
              </w:rPr>
            </w:pPr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 xml:space="preserve">(Data aducerii la </w:t>
            </w:r>
            <w:proofErr w:type="spellStart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cunoştinţă</w:t>
            </w:r>
            <w:proofErr w:type="spellEnd"/>
            <w:r w:rsidRPr="00A85F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o-MD"/>
              </w:rPr>
              <w:t>)</w:t>
            </w:r>
          </w:p>
        </w:tc>
      </w:tr>
    </w:tbl>
    <w:p w:rsidR="00A85F53" w:rsidRPr="00A85F53" w:rsidRDefault="00A85F53" w:rsidP="00A8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MD"/>
        </w:rPr>
      </w:pPr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</w:p>
    <w:p w:rsidR="003501E8" w:rsidRDefault="00A85F53" w:rsidP="00A85F53">
      <w:r w:rsidRPr="00A85F53">
        <w:rPr>
          <w:rFonts w:ascii="Times New Roman" w:eastAsia="Times New Roman" w:hAnsi="Times New Roman" w:cs="Times New Roman"/>
          <w:sz w:val="24"/>
          <w:szCs w:val="24"/>
          <w:lang w:eastAsia="ro-MD"/>
        </w:rPr>
        <w:t> </w:t>
      </w:r>
      <w:bookmarkStart w:id="0" w:name="_GoBack"/>
      <w:bookmarkEnd w:id="0"/>
    </w:p>
    <w:sectPr w:rsidR="0035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53"/>
    <w:rsid w:val="003501E8"/>
    <w:rsid w:val="00A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6D27-C602-4A9E-B70B-6E263E1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aa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a.md" TargetMode="External"/><Relationship Id="rId5" Type="http://schemas.openxmlformats.org/officeDocument/2006/relationships/hyperlink" Target="mailto:info@caa.gov.m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2515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Cobzac Tatiana</dc:creator>
  <cp:keywords/>
  <dc:description/>
  <cp:lastModifiedBy>Cobzac Tatiana</cp:lastModifiedBy>
  <cp:revision>1</cp:revision>
  <dcterms:created xsi:type="dcterms:W3CDTF">2019-07-18T11:20:00Z</dcterms:created>
  <dcterms:modified xsi:type="dcterms:W3CDTF">2019-07-18T11:22:00Z</dcterms:modified>
</cp:coreProperties>
</file>